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8"/>
        <w:gridCol w:w="5218"/>
      </w:tblGrid>
      <w:tr w:rsidR="008303CE" w14:paraId="554E40B5" w14:textId="77777777" w:rsidTr="0009359A">
        <w:tc>
          <w:tcPr>
            <w:tcW w:w="10436" w:type="dxa"/>
            <w:gridSpan w:val="2"/>
            <w:tcBorders>
              <w:top w:val="single" w:sz="12" w:space="0" w:color="auto"/>
              <w:left w:val="single" w:sz="12" w:space="0" w:color="auto"/>
              <w:bottom w:val="single" w:sz="12" w:space="0" w:color="auto"/>
              <w:right w:val="single" w:sz="12" w:space="0" w:color="auto"/>
            </w:tcBorders>
            <w:shd w:val="clear" w:color="auto" w:fill="000000" w:themeFill="text1"/>
          </w:tcPr>
          <w:p w14:paraId="4BF3714C" w14:textId="0232224C" w:rsidR="008303CE" w:rsidRDefault="008303CE" w:rsidP="008303CE">
            <w:pPr>
              <w:jc w:val="center"/>
              <w:rPr>
                <w:rFonts w:ascii="Arial" w:hAnsi="Arial" w:cs="Arial"/>
              </w:rPr>
            </w:pPr>
            <w:r w:rsidRPr="0009359A">
              <w:rPr>
                <w:rFonts w:ascii="Arial" w:hAnsi="Arial" w:cs="Arial"/>
                <w:b/>
              </w:rPr>
              <w:t>Analyse de la tâche</w:t>
            </w:r>
          </w:p>
        </w:tc>
      </w:tr>
      <w:tr w:rsidR="004A0399" w14:paraId="77E4190D" w14:textId="77777777" w:rsidTr="0055543F">
        <w:tc>
          <w:tcPr>
            <w:tcW w:w="5218" w:type="dxa"/>
            <w:tcBorders>
              <w:top w:val="single" w:sz="12" w:space="0" w:color="auto"/>
              <w:left w:val="single" w:sz="12" w:space="0" w:color="auto"/>
              <w:bottom w:val="single" w:sz="24" w:space="0" w:color="auto"/>
              <w:right w:val="single" w:sz="12" w:space="0" w:color="auto"/>
            </w:tcBorders>
          </w:tcPr>
          <w:p w14:paraId="3CCF5629" w14:textId="1BFF09E0" w:rsidR="004A0399" w:rsidRPr="00F6665D" w:rsidRDefault="004A0399">
            <w:pPr>
              <w:rPr>
                <w:rFonts w:ascii="Arial" w:hAnsi="Arial" w:cs="Arial"/>
                <w:b/>
              </w:rPr>
            </w:pPr>
            <w:r w:rsidRPr="00F6665D">
              <w:rPr>
                <w:rFonts w:ascii="Arial" w:hAnsi="Arial" w:cs="Arial"/>
                <w:b/>
              </w:rPr>
              <w:t>T</w:t>
            </w:r>
            <w:r w:rsidR="00F31DFF">
              <w:rPr>
                <w:rFonts w:ascii="Arial" w:hAnsi="Arial" w:cs="Arial"/>
                <w:b/>
              </w:rPr>
              <w:t>itre</w:t>
            </w:r>
            <w:r w:rsidR="00F6665D" w:rsidRPr="00F6665D">
              <w:rPr>
                <w:rFonts w:ascii="Arial" w:hAnsi="Arial" w:cs="Arial"/>
                <w:b/>
              </w:rPr>
              <w:t> :</w:t>
            </w:r>
            <w:r w:rsidR="00E5071B">
              <w:rPr>
                <w:rFonts w:ascii="Arial" w:hAnsi="Arial" w:cs="Arial"/>
                <w:b/>
              </w:rPr>
              <w:t xml:space="preserve"> Danger, Avalanche !</w:t>
            </w:r>
          </w:p>
        </w:tc>
        <w:tc>
          <w:tcPr>
            <w:tcW w:w="5218" w:type="dxa"/>
            <w:tcBorders>
              <w:top w:val="single" w:sz="12" w:space="0" w:color="auto"/>
              <w:left w:val="single" w:sz="12" w:space="0" w:color="auto"/>
              <w:bottom w:val="single" w:sz="24" w:space="0" w:color="auto"/>
              <w:right w:val="single" w:sz="12" w:space="0" w:color="auto"/>
            </w:tcBorders>
          </w:tcPr>
          <w:p w14:paraId="70D00887" w14:textId="5D799F29" w:rsidR="004A0399" w:rsidRPr="00F6665D" w:rsidRDefault="004A0399">
            <w:pPr>
              <w:rPr>
                <w:rFonts w:ascii="Arial" w:hAnsi="Arial" w:cs="Arial"/>
                <w:b/>
              </w:rPr>
            </w:pPr>
            <w:r w:rsidRPr="00F6665D">
              <w:rPr>
                <w:rFonts w:ascii="Arial" w:hAnsi="Arial" w:cs="Arial"/>
                <w:b/>
              </w:rPr>
              <w:t>MAT-</w:t>
            </w:r>
            <w:r w:rsidR="00E5071B">
              <w:rPr>
                <w:rFonts w:ascii="Arial" w:hAnsi="Arial" w:cs="Arial"/>
                <w:b/>
              </w:rPr>
              <w:t>4151</w:t>
            </w:r>
          </w:p>
        </w:tc>
      </w:tr>
      <w:tr w:rsidR="00C710D7" w14:paraId="08F64F7E" w14:textId="77777777" w:rsidTr="00310FAC">
        <w:tc>
          <w:tcPr>
            <w:tcW w:w="10436" w:type="dxa"/>
            <w:gridSpan w:val="2"/>
            <w:tcBorders>
              <w:top w:val="single" w:sz="24" w:space="0" w:color="auto"/>
              <w:left w:val="single" w:sz="24" w:space="0" w:color="auto"/>
              <w:bottom w:val="single" w:sz="12" w:space="0" w:color="auto"/>
              <w:right w:val="single" w:sz="24" w:space="0" w:color="auto"/>
            </w:tcBorders>
          </w:tcPr>
          <w:p w14:paraId="2D79AEAB" w14:textId="7CC1BF96" w:rsidR="00C710D7" w:rsidRPr="001005B0" w:rsidRDefault="00C710D7" w:rsidP="00C710D7">
            <w:pPr>
              <w:rPr>
                <w:rFonts w:ascii="Arial" w:hAnsi="Arial" w:cs="Arial"/>
              </w:rPr>
            </w:pPr>
            <w:r w:rsidRPr="00F4727A">
              <w:rPr>
                <w:rFonts w:ascii="Arial" w:hAnsi="Arial" w:cs="Arial"/>
                <w:b/>
              </w:rPr>
              <w:t>Intention pédagogique</w:t>
            </w:r>
            <w:r w:rsidRPr="001005B0">
              <w:rPr>
                <w:rFonts w:ascii="Arial" w:hAnsi="Arial" w:cs="Arial"/>
              </w:rPr>
              <w:t xml:space="preserve"> </w:t>
            </w:r>
            <w:r w:rsidR="0046544B" w:rsidRPr="001005B0">
              <w:rPr>
                <w:rFonts w:ascii="Arial" w:hAnsi="Arial" w:cs="Arial"/>
              </w:rPr>
              <w:t>et liens avec le programme</w:t>
            </w:r>
          </w:p>
          <w:p w14:paraId="19756EF5" w14:textId="77777777" w:rsidR="00C710D7" w:rsidRDefault="00C710D7">
            <w:pPr>
              <w:rPr>
                <w:rFonts w:ascii="Arial" w:hAnsi="Arial" w:cs="Arial"/>
              </w:rPr>
            </w:pPr>
          </w:p>
          <w:p w14:paraId="126EE969" w14:textId="72BD80E1" w:rsidR="00BF628A" w:rsidRDefault="00DD1101">
            <w:r>
              <w:t>Amener l’élève à se rendre compte que le point d’une droite le plus près d’un autre point, extérieur à la droite, peut être déterminer à l’aide d’équations algébriques.</w:t>
            </w:r>
          </w:p>
          <w:p w14:paraId="302EA82B" w14:textId="492E5B3C" w:rsidR="00BF628A" w:rsidRDefault="00BF628A">
            <w:pPr>
              <w:rPr>
                <w:rFonts w:ascii="Arial" w:hAnsi="Arial" w:cs="Arial"/>
              </w:rPr>
            </w:pPr>
          </w:p>
        </w:tc>
      </w:tr>
      <w:tr w:rsidR="002D42FE" w14:paraId="080ACF2D" w14:textId="77777777" w:rsidTr="00310FAC">
        <w:tc>
          <w:tcPr>
            <w:tcW w:w="10436" w:type="dxa"/>
            <w:gridSpan w:val="2"/>
            <w:tcBorders>
              <w:top w:val="single" w:sz="12" w:space="0" w:color="auto"/>
              <w:left w:val="single" w:sz="12" w:space="0" w:color="auto"/>
              <w:bottom w:val="single" w:sz="12" w:space="0" w:color="auto"/>
              <w:right w:val="single" w:sz="12" w:space="0" w:color="auto"/>
            </w:tcBorders>
          </w:tcPr>
          <w:p w14:paraId="1835D7E8" w14:textId="6BCC756F" w:rsidR="002D42FE" w:rsidRDefault="002D42FE" w:rsidP="002D42FE">
            <w:pPr>
              <w:rPr>
                <w:rFonts w:ascii="Arial" w:hAnsi="Arial" w:cs="Arial"/>
              </w:rPr>
            </w:pPr>
            <w:r w:rsidRPr="0C562D38">
              <w:rPr>
                <w:rFonts w:ascii="Arial" w:hAnsi="Arial" w:cs="Arial"/>
              </w:rPr>
              <w:t xml:space="preserve">Suggestion de moment d’administration : </w:t>
            </w:r>
            <w:r w:rsidR="00E5071B">
              <w:rPr>
                <w:rFonts w:ascii="Arial" w:hAnsi="Arial" w:cs="Arial"/>
              </w:rPr>
              <w:t>Fin de cours ou en cours de formation</w:t>
            </w:r>
          </w:p>
          <w:p w14:paraId="64A8AC3B" w14:textId="6E6B010A" w:rsidR="002D42FE" w:rsidRDefault="002D42FE" w:rsidP="002D42FE">
            <w:pPr>
              <w:rPr>
                <w:rFonts w:ascii="Arial" w:hAnsi="Arial" w:cs="Arial"/>
              </w:rPr>
            </w:pPr>
            <w:r>
              <w:rPr>
                <w:rFonts w:ascii="Arial" w:hAnsi="Arial" w:cs="Arial"/>
              </w:rPr>
              <w:t>N</w:t>
            </w:r>
            <w:r w:rsidRPr="0C562D38">
              <w:rPr>
                <w:rFonts w:ascii="Arial" w:hAnsi="Arial" w:cs="Arial"/>
              </w:rPr>
              <w:t xml:space="preserve">iveau de complexité de la tâche : </w:t>
            </w:r>
            <w:r w:rsidR="00E5071B">
              <w:rPr>
                <w:rFonts w:ascii="Arial" w:hAnsi="Arial" w:cs="Arial"/>
              </w:rPr>
              <w:t>Élevé</w:t>
            </w:r>
            <w:r w:rsidRPr="0C562D38">
              <w:rPr>
                <w:rFonts w:ascii="Arial" w:hAnsi="Arial" w:cs="Arial"/>
              </w:rPr>
              <w:t xml:space="preserve"> </w:t>
            </w:r>
          </w:p>
          <w:p w14:paraId="35E4422E" w14:textId="30D2F77F" w:rsidR="002D42FE" w:rsidRDefault="002D42FE" w:rsidP="002D42FE">
            <w:pPr>
              <w:rPr>
                <w:rFonts w:ascii="Arial" w:hAnsi="Arial" w:cs="Arial"/>
              </w:rPr>
            </w:pPr>
            <w:r w:rsidRPr="0C562D38">
              <w:rPr>
                <w:rFonts w:ascii="Arial" w:hAnsi="Arial" w:cs="Arial"/>
              </w:rPr>
              <w:t>Prérequis pour réaliser cette tâche :</w:t>
            </w:r>
            <w:r w:rsidR="00E5071B">
              <w:rPr>
                <w:rFonts w:ascii="Arial" w:hAnsi="Arial" w:cs="Arial"/>
              </w:rPr>
              <w:t xml:space="preserve"> Pente de droites parallèles et perpendiculaires</w:t>
            </w:r>
          </w:p>
          <w:p w14:paraId="26D6586B" w14:textId="77777777" w:rsidR="002D42FE" w:rsidRPr="00F4727A" w:rsidRDefault="002D42FE" w:rsidP="00C710D7">
            <w:pPr>
              <w:rPr>
                <w:rFonts w:ascii="Arial" w:hAnsi="Arial" w:cs="Arial"/>
                <w:b/>
              </w:rPr>
            </w:pPr>
          </w:p>
        </w:tc>
      </w:tr>
      <w:tr w:rsidR="00C710D7" w14:paraId="206A1301" w14:textId="77777777" w:rsidTr="00310FAC">
        <w:tc>
          <w:tcPr>
            <w:tcW w:w="10436" w:type="dxa"/>
            <w:gridSpan w:val="2"/>
            <w:tcBorders>
              <w:top w:val="single" w:sz="12" w:space="0" w:color="auto"/>
              <w:left w:val="single" w:sz="12" w:space="0" w:color="auto"/>
              <w:bottom w:val="single" w:sz="12" w:space="0" w:color="auto"/>
              <w:right w:val="single" w:sz="12" w:space="0" w:color="auto"/>
            </w:tcBorders>
          </w:tcPr>
          <w:p w14:paraId="33F3F35D" w14:textId="56B297EF" w:rsidR="00C710D7" w:rsidRDefault="00C710D7" w:rsidP="00C710D7">
            <w:pPr>
              <w:rPr>
                <w:rFonts w:ascii="Arial" w:hAnsi="Arial" w:cs="Arial"/>
                <w:b/>
              </w:rPr>
            </w:pPr>
            <w:r w:rsidRPr="00CC3F46">
              <w:rPr>
                <w:rFonts w:ascii="Arial" w:hAnsi="Arial" w:cs="Arial"/>
                <w:b/>
              </w:rPr>
              <w:t xml:space="preserve">Principale stratégie </w:t>
            </w:r>
            <w:r w:rsidR="003171C2">
              <w:rPr>
                <w:rFonts w:ascii="Arial" w:hAnsi="Arial" w:cs="Arial"/>
                <w:b/>
              </w:rPr>
              <w:t xml:space="preserve">de résolution </w:t>
            </w:r>
            <w:r w:rsidRPr="00CC3F46">
              <w:rPr>
                <w:rFonts w:ascii="Arial" w:hAnsi="Arial" w:cs="Arial"/>
                <w:b/>
              </w:rPr>
              <w:t>mobilisée dans la tâche (stratégie-vedette)</w:t>
            </w:r>
          </w:p>
          <w:p w14:paraId="495060AE" w14:textId="72432165" w:rsidR="0C562D38" w:rsidRDefault="00DD1101" w:rsidP="00DD1101">
            <w:pPr>
              <w:pStyle w:val="paragraph"/>
              <w:rPr>
                <w:rFonts w:ascii="Arial" w:hAnsi="Arial" w:cs="Arial"/>
                <w:b/>
                <w:bCs/>
              </w:rPr>
            </w:pPr>
            <w:r>
              <w:rPr>
                <w:rStyle w:val="normaltextrun"/>
                <w:rFonts w:ascii="Calibri" w:hAnsi="Calibri" w:cs="Calibri"/>
                <w:color w:val="000000"/>
                <w:shd w:val="clear" w:color="auto" w:fill="FFFFFF"/>
              </w:rPr>
              <w:t>Reconnaitre le potentiel du système d’équations comme moyen efficace pour trouver des valeurs inconnues.</w:t>
            </w:r>
          </w:p>
          <w:p w14:paraId="40B4614F" w14:textId="48ABAF25" w:rsidR="0C562D38" w:rsidRDefault="0C562D38" w:rsidP="0C562D38">
            <w:pPr>
              <w:pStyle w:val="paragraph"/>
              <w:jc w:val="both"/>
              <w:rPr>
                <w:rStyle w:val="normaltextrun"/>
                <w:rFonts w:ascii="Arial" w:hAnsi="Arial" w:cs="Arial"/>
                <w:sz w:val="22"/>
                <w:szCs w:val="22"/>
                <w:lang w:val="fr-CA"/>
              </w:rPr>
            </w:pPr>
            <w:r w:rsidRPr="0C562D38">
              <w:rPr>
                <w:rFonts w:ascii="Arial" w:hAnsi="Arial" w:cs="Arial"/>
                <w:b/>
                <w:bCs/>
              </w:rPr>
              <w:t>Autres stratégies de résolution utiles mobilisées</w:t>
            </w:r>
          </w:p>
          <w:p w14:paraId="7C4F6F52" w14:textId="77777777" w:rsidR="00C710D7" w:rsidRPr="00DD1101" w:rsidRDefault="00DD1101" w:rsidP="00DD1101">
            <w:pPr>
              <w:pStyle w:val="paragraph"/>
              <w:numPr>
                <w:ilvl w:val="0"/>
                <w:numId w:val="9"/>
              </w:numPr>
              <w:jc w:val="both"/>
              <w:rPr>
                <w:rStyle w:val="eop"/>
                <w:rFonts w:ascii="Arial" w:hAnsi="Arial" w:cs="Arial"/>
              </w:rPr>
            </w:pPr>
            <w:r>
              <w:rPr>
                <w:rStyle w:val="normaltextrun"/>
                <w:rFonts w:ascii="Calibri" w:hAnsi="Calibri" w:cs="Calibri"/>
                <w:color w:val="000000"/>
                <w:shd w:val="clear" w:color="auto" w:fill="FFFFFF"/>
              </w:rPr>
              <w:t>Analyser une représentation graphique (allure de la courbe) afin de déterminer le type de fonction en jeu.</w:t>
            </w:r>
            <w:r>
              <w:rPr>
                <w:rStyle w:val="eop"/>
                <w:rFonts w:ascii="Calibri" w:hAnsi="Calibri" w:cs="Calibri"/>
                <w:color w:val="000000"/>
                <w:shd w:val="clear" w:color="auto" w:fill="FFFFFF"/>
              </w:rPr>
              <w:t> </w:t>
            </w:r>
          </w:p>
          <w:p w14:paraId="590A76CD" w14:textId="77777777" w:rsidR="00DD1101" w:rsidRPr="00DD1101" w:rsidRDefault="00DD1101" w:rsidP="00DD1101">
            <w:pPr>
              <w:pStyle w:val="paragraph"/>
              <w:numPr>
                <w:ilvl w:val="0"/>
                <w:numId w:val="9"/>
              </w:numPr>
              <w:jc w:val="both"/>
              <w:rPr>
                <w:rStyle w:val="normaltextrun"/>
                <w:rFonts w:ascii="Arial" w:hAnsi="Arial" w:cs="Arial"/>
              </w:rPr>
            </w:pPr>
            <w:r>
              <w:rPr>
                <w:rStyle w:val="normaltextrun"/>
                <w:rFonts w:ascii="Calibri" w:hAnsi="Calibri" w:cs="Calibri"/>
                <w:color w:val="000000"/>
                <w:shd w:val="clear" w:color="auto" w:fill="FFFFFF"/>
              </w:rPr>
              <w:t>Reconnaitre le potentiel de la règle (ou de la régularité dans la variation des variables) comme moyen efficace pour trouver des valeurs inconnues.</w:t>
            </w:r>
          </w:p>
          <w:p w14:paraId="6840B082" w14:textId="77777777" w:rsidR="00DD1101" w:rsidRPr="00DD1101" w:rsidRDefault="00DD1101" w:rsidP="00DD1101">
            <w:pPr>
              <w:pStyle w:val="paragraph"/>
              <w:numPr>
                <w:ilvl w:val="0"/>
                <w:numId w:val="9"/>
              </w:numPr>
              <w:jc w:val="both"/>
              <w:rPr>
                <w:rFonts w:ascii="Arial" w:hAnsi="Arial" w:cs="Arial"/>
              </w:rPr>
            </w:pPr>
            <w:r w:rsidRPr="00DD1101">
              <w:rPr>
                <w:rStyle w:val="normaltextrun"/>
                <w:rFonts w:ascii="Arial" w:hAnsi="Arial" w:cs="Arial"/>
                <w:sz w:val="22"/>
                <w:szCs w:val="22"/>
              </w:rPr>
              <w:t>Identifier les bases et les hauteurs utiles dans différents triangles </w:t>
            </w:r>
            <w:r w:rsidRPr="00DD1101">
              <w:rPr>
                <w:rStyle w:val="eop"/>
                <w:rFonts w:ascii="Arial" w:hAnsi="Arial" w:cs="Arial"/>
                <w:sz w:val="22"/>
                <w:szCs w:val="22"/>
              </w:rPr>
              <w:t> </w:t>
            </w:r>
          </w:p>
          <w:p w14:paraId="21E9BFE7" w14:textId="77777777" w:rsidR="00DD1101" w:rsidRPr="00DD1101" w:rsidRDefault="00DD1101" w:rsidP="00DD1101">
            <w:pPr>
              <w:pStyle w:val="paragraph"/>
              <w:numPr>
                <w:ilvl w:val="0"/>
                <w:numId w:val="9"/>
              </w:numPr>
              <w:jc w:val="both"/>
              <w:rPr>
                <w:rFonts w:ascii="Arial" w:hAnsi="Arial" w:cs="Arial"/>
              </w:rPr>
            </w:pPr>
            <w:r w:rsidRPr="00DD1101">
              <w:rPr>
                <w:rStyle w:val="normaltextrun"/>
                <w:rFonts w:ascii="Arial" w:hAnsi="Arial" w:cs="Arial"/>
                <w:sz w:val="22"/>
                <w:szCs w:val="22"/>
              </w:rPr>
              <w:t>Situer les mesures fournies sur un schéma</w:t>
            </w:r>
            <w:r w:rsidRPr="00DD1101">
              <w:rPr>
                <w:rStyle w:val="eop"/>
                <w:rFonts w:ascii="Arial" w:hAnsi="Arial" w:cs="Arial"/>
                <w:sz w:val="22"/>
                <w:szCs w:val="22"/>
              </w:rPr>
              <w:t> </w:t>
            </w:r>
          </w:p>
          <w:p w14:paraId="576AEDA1" w14:textId="77777777" w:rsidR="00DD1101" w:rsidRPr="00DD1101" w:rsidRDefault="00DD1101" w:rsidP="00DD1101">
            <w:pPr>
              <w:pStyle w:val="paragraph"/>
              <w:numPr>
                <w:ilvl w:val="0"/>
                <w:numId w:val="9"/>
              </w:numPr>
              <w:jc w:val="both"/>
              <w:rPr>
                <w:rFonts w:ascii="Arial" w:hAnsi="Arial" w:cs="Arial"/>
              </w:rPr>
            </w:pPr>
            <w:r w:rsidRPr="00DD1101">
              <w:rPr>
                <w:rStyle w:val="normaltextrun"/>
                <w:rFonts w:ascii="Arial" w:hAnsi="Arial" w:cs="Arial"/>
                <w:sz w:val="22"/>
                <w:szCs w:val="22"/>
              </w:rPr>
              <w:t>Chercher à établir des relations entre des mesures afin d’en trouver d’autres</w:t>
            </w:r>
            <w:r w:rsidRPr="00DD1101">
              <w:rPr>
                <w:rStyle w:val="eop"/>
                <w:rFonts w:ascii="Arial" w:hAnsi="Arial" w:cs="Arial"/>
                <w:sz w:val="22"/>
                <w:szCs w:val="22"/>
              </w:rPr>
              <w:t> </w:t>
            </w:r>
          </w:p>
          <w:p w14:paraId="55CF203E" w14:textId="77777777" w:rsidR="00DD1101" w:rsidRPr="00DD1101" w:rsidRDefault="00DD1101" w:rsidP="00DD1101">
            <w:pPr>
              <w:pStyle w:val="paragraph"/>
              <w:numPr>
                <w:ilvl w:val="0"/>
                <w:numId w:val="9"/>
              </w:numPr>
              <w:jc w:val="both"/>
              <w:rPr>
                <w:rFonts w:ascii="Arial" w:hAnsi="Arial" w:cs="Arial"/>
              </w:rPr>
            </w:pPr>
            <w:r w:rsidRPr="00DD1101">
              <w:rPr>
                <w:rStyle w:val="normaltextrun"/>
                <w:rFonts w:ascii="Arial" w:hAnsi="Arial" w:cs="Arial"/>
                <w:sz w:val="22"/>
                <w:szCs w:val="22"/>
              </w:rPr>
              <w:t>Reconnaitre qu’il faut chercher la règle d’une fonction à l’étude et trouver cette règle</w:t>
            </w:r>
            <w:r w:rsidRPr="00DD1101">
              <w:rPr>
                <w:rStyle w:val="eop"/>
                <w:rFonts w:ascii="Arial" w:hAnsi="Arial" w:cs="Arial"/>
                <w:sz w:val="22"/>
                <w:szCs w:val="22"/>
              </w:rPr>
              <w:t> </w:t>
            </w:r>
          </w:p>
          <w:p w14:paraId="33DE9D85" w14:textId="108B9490" w:rsidR="00DD1101" w:rsidRPr="00DD1101" w:rsidRDefault="00DD1101" w:rsidP="00DD1101">
            <w:pPr>
              <w:pStyle w:val="paragraph"/>
              <w:numPr>
                <w:ilvl w:val="0"/>
                <w:numId w:val="9"/>
              </w:numPr>
              <w:jc w:val="both"/>
              <w:rPr>
                <w:rFonts w:ascii="Arial" w:hAnsi="Arial" w:cs="Arial"/>
              </w:rPr>
            </w:pPr>
            <w:r w:rsidRPr="00DD1101">
              <w:rPr>
                <w:rStyle w:val="normaltextrun"/>
                <w:rFonts w:ascii="Arial" w:hAnsi="Arial" w:cs="Arial"/>
                <w:sz w:val="22"/>
                <w:szCs w:val="22"/>
              </w:rPr>
              <w:t>Dégager des informations pertinentes présentées verbalement, algébriquement, graphiquement ou par une table de valeurs</w:t>
            </w:r>
            <w:r w:rsidRPr="00DD1101">
              <w:rPr>
                <w:rStyle w:val="eop"/>
                <w:rFonts w:ascii="Arial" w:hAnsi="Arial" w:cs="Arial"/>
                <w:sz w:val="22"/>
                <w:szCs w:val="22"/>
              </w:rPr>
              <w:t> </w:t>
            </w:r>
          </w:p>
          <w:p w14:paraId="30CC15B8" w14:textId="1FB23924" w:rsidR="00DD1101" w:rsidRDefault="00DD1101" w:rsidP="00DD1101">
            <w:pPr>
              <w:pStyle w:val="paragraph"/>
              <w:numPr>
                <w:ilvl w:val="0"/>
                <w:numId w:val="9"/>
              </w:numPr>
              <w:jc w:val="both"/>
              <w:rPr>
                <w:rFonts w:ascii="Arial" w:hAnsi="Arial" w:cs="Arial"/>
              </w:rPr>
            </w:pPr>
            <w:r>
              <w:rPr>
                <w:rStyle w:val="normaltextrun"/>
                <w:rFonts w:ascii="Arial" w:hAnsi="Arial" w:cs="Arial"/>
                <w:color w:val="000000"/>
                <w:sz w:val="22"/>
                <w:szCs w:val="22"/>
                <w:shd w:val="clear" w:color="auto" w:fill="FFFFFF"/>
              </w:rPr>
              <w:t>Établir des liens entre les formes algébriques et graphique</w:t>
            </w:r>
          </w:p>
        </w:tc>
      </w:tr>
      <w:tr w:rsidR="00037B49" w14:paraId="7D41AFCC" w14:textId="77777777" w:rsidTr="008C68B7">
        <w:tc>
          <w:tcPr>
            <w:tcW w:w="10436" w:type="dxa"/>
            <w:gridSpan w:val="2"/>
            <w:tcBorders>
              <w:top w:val="single" w:sz="12" w:space="0" w:color="auto"/>
              <w:left w:val="single" w:sz="12" w:space="0" w:color="auto"/>
              <w:bottom w:val="single" w:sz="12" w:space="0" w:color="auto"/>
              <w:right w:val="single" w:sz="12" w:space="0" w:color="auto"/>
            </w:tcBorders>
          </w:tcPr>
          <w:p w14:paraId="5C021068" w14:textId="3AD12143" w:rsidR="00037B49" w:rsidRPr="00F4727A" w:rsidRDefault="00037B49" w:rsidP="00037B49">
            <w:pPr>
              <w:pStyle w:val="paragraph"/>
              <w:jc w:val="both"/>
              <w:textAlignment w:val="baseline"/>
              <w:rPr>
                <w:rFonts w:ascii="Arial" w:hAnsi="Arial" w:cs="Arial"/>
                <w:b/>
                <w:sz w:val="22"/>
                <w:szCs w:val="22"/>
              </w:rPr>
            </w:pPr>
            <w:r w:rsidRPr="00F4727A">
              <w:rPr>
                <w:rStyle w:val="normaltextrun"/>
                <w:rFonts w:ascii="Arial" w:hAnsi="Arial" w:cs="Arial"/>
                <w:b/>
                <w:sz w:val="22"/>
                <w:szCs w:val="22"/>
                <w:lang w:val="fr-CA"/>
              </w:rPr>
              <w:t>Savoirs (notions, concepts) </w:t>
            </w:r>
          </w:p>
          <w:p w14:paraId="3CAB4BF8" w14:textId="5AF5D9DE" w:rsidR="00037B49" w:rsidRPr="00DD1101" w:rsidRDefault="00DD1101" w:rsidP="00DD1101">
            <w:pPr>
              <w:pStyle w:val="Paragraphedeliste"/>
              <w:numPr>
                <w:ilvl w:val="0"/>
                <w:numId w:val="9"/>
              </w:numPr>
              <w:rPr>
                <w:rFonts w:ascii="Arial" w:hAnsi="Arial" w:cs="Arial"/>
                <w:b/>
              </w:rPr>
            </w:pPr>
            <w:r>
              <w:t>Fonction affine</w:t>
            </w:r>
          </w:p>
          <w:p w14:paraId="24B410C9" w14:textId="46ADE060" w:rsidR="00DD1101" w:rsidRPr="00DD1101" w:rsidRDefault="00DD1101" w:rsidP="00DD1101">
            <w:pPr>
              <w:pStyle w:val="Paragraphedeliste"/>
              <w:numPr>
                <w:ilvl w:val="0"/>
                <w:numId w:val="9"/>
              </w:numPr>
              <w:rPr>
                <w:rFonts w:ascii="Arial" w:hAnsi="Arial" w:cs="Arial"/>
                <w:b/>
              </w:rPr>
            </w:pPr>
            <w:r>
              <w:t>Équation d’une droite</w:t>
            </w:r>
          </w:p>
          <w:p w14:paraId="3CD879AD" w14:textId="77777777" w:rsidR="00DD1101" w:rsidRPr="00DD1101" w:rsidRDefault="00DD1101" w:rsidP="00DD1101">
            <w:pPr>
              <w:pStyle w:val="Paragraphedeliste"/>
              <w:numPr>
                <w:ilvl w:val="0"/>
                <w:numId w:val="9"/>
              </w:numPr>
              <w:rPr>
                <w:rFonts w:ascii="Arial" w:hAnsi="Arial" w:cs="Arial"/>
                <w:b/>
              </w:rPr>
            </w:pPr>
            <w:r>
              <w:t>Pente d’une droite perpendiculaire</w:t>
            </w:r>
          </w:p>
          <w:p w14:paraId="492BF8A2" w14:textId="77777777" w:rsidR="00DD1101" w:rsidRPr="00DD1101" w:rsidRDefault="00DD1101" w:rsidP="00DD1101">
            <w:pPr>
              <w:pStyle w:val="Paragraphedeliste"/>
              <w:numPr>
                <w:ilvl w:val="0"/>
                <w:numId w:val="9"/>
              </w:numPr>
              <w:rPr>
                <w:rFonts w:ascii="Arial" w:hAnsi="Arial" w:cs="Arial"/>
                <w:b/>
              </w:rPr>
            </w:pPr>
            <w:r>
              <w:t>Résolution d’un système d’équations du premier degré</w:t>
            </w:r>
          </w:p>
          <w:p w14:paraId="2AEFD2C6" w14:textId="77777777" w:rsidR="00DD1101" w:rsidRPr="00DD1101" w:rsidRDefault="00DD1101" w:rsidP="00DD1101">
            <w:pPr>
              <w:pStyle w:val="Paragraphedeliste"/>
              <w:numPr>
                <w:ilvl w:val="0"/>
                <w:numId w:val="9"/>
              </w:numPr>
              <w:rPr>
                <w:rFonts w:ascii="Arial" w:hAnsi="Arial" w:cs="Arial"/>
                <w:b/>
              </w:rPr>
            </w:pPr>
            <w:r>
              <w:t>Aire d’un triangle</w:t>
            </w:r>
          </w:p>
          <w:p w14:paraId="7A5B9B59" w14:textId="77777777" w:rsidR="00DD1101" w:rsidRPr="00DD1101" w:rsidRDefault="00DD1101" w:rsidP="00DD1101">
            <w:pPr>
              <w:pStyle w:val="Paragraphedeliste"/>
              <w:numPr>
                <w:ilvl w:val="0"/>
                <w:numId w:val="9"/>
              </w:numPr>
              <w:rPr>
                <w:rFonts w:ascii="Arial" w:hAnsi="Arial" w:cs="Arial"/>
                <w:b/>
              </w:rPr>
            </w:pPr>
            <w:r>
              <w:t>Théorème de Pythagore</w:t>
            </w:r>
          </w:p>
          <w:p w14:paraId="0EA223BD" w14:textId="178592C0" w:rsidR="00DD1101" w:rsidRPr="00DD1101" w:rsidRDefault="00DD1101" w:rsidP="00DD1101">
            <w:pPr>
              <w:pStyle w:val="Paragraphedeliste"/>
              <w:rPr>
                <w:rFonts w:ascii="Arial" w:hAnsi="Arial" w:cs="Arial"/>
                <w:b/>
              </w:rPr>
            </w:pPr>
          </w:p>
        </w:tc>
      </w:tr>
      <w:tr w:rsidR="00C710D7" w14:paraId="3857766A" w14:textId="77777777" w:rsidTr="008C68B7">
        <w:tc>
          <w:tcPr>
            <w:tcW w:w="10436" w:type="dxa"/>
            <w:gridSpan w:val="2"/>
            <w:tcBorders>
              <w:top w:val="single" w:sz="12" w:space="0" w:color="auto"/>
              <w:left w:val="single" w:sz="12" w:space="0" w:color="auto"/>
              <w:bottom w:val="single" w:sz="12" w:space="0" w:color="auto"/>
              <w:right w:val="single" w:sz="12" w:space="0" w:color="auto"/>
            </w:tcBorders>
          </w:tcPr>
          <w:p w14:paraId="2067DB11" w14:textId="77777777" w:rsidR="00C710D7" w:rsidRPr="00F4727A" w:rsidRDefault="00C710D7" w:rsidP="00C710D7">
            <w:pPr>
              <w:pStyle w:val="paragraph"/>
              <w:jc w:val="both"/>
              <w:textAlignment w:val="baseline"/>
              <w:rPr>
                <w:rFonts w:ascii="Arial" w:hAnsi="Arial" w:cs="Arial"/>
                <w:b/>
                <w:color w:val="262626"/>
                <w:sz w:val="22"/>
                <w:szCs w:val="22"/>
              </w:rPr>
            </w:pPr>
            <w:r w:rsidRPr="00F4727A">
              <w:rPr>
                <w:rStyle w:val="normaltextrun"/>
                <w:rFonts w:ascii="Arial" w:hAnsi="Arial" w:cs="Arial"/>
                <w:b/>
                <w:color w:val="262626"/>
                <w:sz w:val="22"/>
                <w:szCs w:val="22"/>
                <w:lang w:val="fr-CA"/>
              </w:rPr>
              <w:t>Famille de situations</w:t>
            </w:r>
            <w:r w:rsidRPr="00F4727A">
              <w:rPr>
                <w:rStyle w:val="eop"/>
                <w:rFonts w:ascii="Arial" w:hAnsi="Arial" w:cs="Arial"/>
                <w:b/>
                <w:color w:val="262626"/>
                <w:sz w:val="22"/>
                <w:szCs w:val="22"/>
              </w:rPr>
              <w:t> </w:t>
            </w:r>
          </w:p>
          <w:p w14:paraId="16C2D608" w14:textId="248DFD9A" w:rsidR="00DD1101" w:rsidRDefault="00DD1101" w:rsidP="00DD1101">
            <w:pPr>
              <w:pStyle w:val="paragraph"/>
              <w:numPr>
                <w:ilvl w:val="0"/>
                <w:numId w:val="9"/>
              </w:numPr>
              <w:spacing w:before="0" w:beforeAutospacing="0" w:after="0" w:afterAutospacing="0"/>
              <w:textAlignment w:val="baseline"/>
              <w:rPr>
                <w:rFonts w:ascii="Arial" w:hAnsi="Arial" w:cs="Arial"/>
                <w:sz w:val="22"/>
                <w:szCs w:val="22"/>
              </w:rPr>
            </w:pPr>
            <w:r>
              <w:rPr>
                <w:rStyle w:val="normaltextrun"/>
                <w:rFonts w:ascii="Arial" w:hAnsi="Arial" w:cs="Arial"/>
                <w:color w:val="000000"/>
                <w:sz w:val="22"/>
                <w:szCs w:val="22"/>
              </w:rPr>
              <w:t>Relation entre quantités</w:t>
            </w:r>
            <w:r>
              <w:rPr>
                <w:rStyle w:val="eop"/>
                <w:rFonts w:ascii="Arial" w:hAnsi="Arial" w:cs="Arial"/>
                <w:sz w:val="22"/>
                <w:szCs w:val="22"/>
              </w:rPr>
              <w:t> </w:t>
            </w:r>
          </w:p>
          <w:p w14:paraId="4B99A249" w14:textId="18ED182D" w:rsidR="00DD1101" w:rsidRDefault="00DD1101" w:rsidP="00DD1101">
            <w:pPr>
              <w:pStyle w:val="paragraph"/>
              <w:numPr>
                <w:ilvl w:val="0"/>
                <w:numId w:val="9"/>
              </w:numPr>
              <w:spacing w:before="0" w:beforeAutospacing="0" w:after="0" w:afterAutospacing="0"/>
              <w:textAlignment w:val="baseline"/>
              <w:rPr>
                <w:rFonts w:ascii="Arial" w:hAnsi="Arial" w:cs="Arial"/>
                <w:sz w:val="22"/>
                <w:szCs w:val="22"/>
              </w:rPr>
            </w:pPr>
            <w:r>
              <w:rPr>
                <w:rStyle w:val="normaltextrun"/>
                <w:rFonts w:ascii="Arial" w:hAnsi="Arial" w:cs="Arial"/>
                <w:color w:val="000000"/>
                <w:sz w:val="22"/>
                <w:szCs w:val="22"/>
              </w:rPr>
              <w:t>Mesure et représentation spatiale</w:t>
            </w:r>
            <w:r>
              <w:rPr>
                <w:rStyle w:val="eop"/>
                <w:rFonts w:ascii="Arial" w:hAnsi="Arial" w:cs="Arial"/>
                <w:sz w:val="22"/>
                <w:szCs w:val="22"/>
              </w:rPr>
              <w:t> </w:t>
            </w:r>
          </w:p>
          <w:p w14:paraId="4B4BDC83" w14:textId="77777777" w:rsidR="00C710D7" w:rsidRDefault="00C710D7" w:rsidP="00C710D7">
            <w:pPr>
              <w:rPr>
                <w:rFonts w:ascii="Arial" w:hAnsi="Arial" w:cs="Arial"/>
              </w:rPr>
            </w:pPr>
          </w:p>
        </w:tc>
      </w:tr>
      <w:tr w:rsidR="00C710D7" w14:paraId="23A6ABD5" w14:textId="77777777" w:rsidTr="008C68B7">
        <w:tc>
          <w:tcPr>
            <w:tcW w:w="10436" w:type="dxa"/>
            <w:gridSpan w:val="2"/>
            <w:tcBorders>
              <w:top w:val="single" w:sz="12" w:space="0" w:color="auto"/>
              <w:left w:val="single" w:sz="12" w:space="0" w:color="auto"/>
              <w:bottom w:val="single" w:sz="12" w:space="0" w:color="auto"/>
              <w:right w:val="single" w:sz="12" w:space="0" w:color="auto"/>
            </w:tcBorders>
          </w:tcPr>
          <w:p w14:paraId="6B4B73CA" w14:textId="77777777" w:rsidR="00C710D7" w:rsidRPr="005465C9" w:rsidRDefault="00C710D7" w:rsidP="00C710D7">
            <w:pPr>
              <w:pStyle w:val="paragraph"/>
              <w:jc w:val="both"/>
              <w:textAlignment w:val="baseline"/>
              <w:rPr>
                <w:rFonts w:ascii="Arial" w:hAnsi="Arial" w:cs="Arial"/>
                <w:b/>
                <w:color w:val="262626"/>
                <w:sz w:val="22"/>
                <w:szCs w:val="22"/>
              </w:rPr>
            </w:pPr>
            <w:r w:rsidRPr="005465C9">
              <w:rPr>
                <w:rStyle w:val="normaltextrun"/>
                <w:rFonts w:ascii="Arial" w:hAnsi="Arial" w:cs="Arial"/>
                <w:b/>
                <w:color w:val="262626"/>
                <w:sz w:val="22"/>
                <w:szCs w:val="22"/>
                <w:lang w:val="fr-CA"/>
              </w:rPr>
              <w:t>Catégorie d’actions ou procédés intégrateurs</w:t>
            </w:r>
            <w:r w:rsidRPr="005465C9">
              <w:rPr>
                <w:rStyle w:val="eop"/>
                <w:rFonts w:ascii="Arial" w:hAnsi="Arial" w:cs="Arial"/>
                <w:b/>
                <w:color w:val="262626"/>
                <w:sz w:val="22"/>
                <w:szCs w:val="22"/>
              </w:rPr>
              <w:t> </w:t>
            </w:r>
          </w:p>
          <w:p w14:paraId="709CB631" w14:textId="09B85B53" w:rsidR="00DD1101" w:rsidRPr="00DD1101" w:rsidRDefault="00C710D7" w:rsidP="00DD1101">
            <w:pPr>
              <w:pStyle w:val="paragraph"/>
              <w:jc w:val="both"/>
              <w:textAlignment w:val="baseline"/>
              <w:rPr>
                <w:rStyle w:val="normaltextrun"/>
                <w:rFonts w:ascii="Arial" w:hAnsi="Arial" w:cs="Arial"/>
                <w:color w:val="262626"/>
                <w:sz w:val="22"/>
                <w:szCs w:val="22"/>
              </w:rPr>
            </w:pPr>
            <w:r w:rsidRPr="008D719C">
              <w:rPr>
                <w:rStyle w:val="normaltextrun"/>
                <w:rFonts w:ascii="Arial" w:hAnsi="Arial" w:cs="Arial"/>
                <w:color w:val="262626"/>
                <w:sz w:val="22"/>
                <w:szCs w:val="22"/>
                <w:lang w:val="fr-CA"/>
              </w:rPr>
              <w:t>Modélisation algébrique</w:t>
            </w:r>
            <w:r w:rsidRPr="008D719C">
              <w:rPr>
                <w:rStyle w:val="eop"/>
                <w:rFonts w:ascii="Arial" w:hAnsi="Arial" w:cs="Arial"/>
                <w:color w:val="262626"/>
                <w:sz w:val="22"/>
                <w:szCs w:val="22"/>
              </w:rPr>
              <w:t> </w:t>
            </w:r>
          </w:p>
          <w:p w14:paraId="107461F0" w14:textId="5D17AEE0" w:rsidR="00C710D7" w:rsidRPr="008D719C" w:rsidRDefault="00C710D7" w:rsidP="008D5F39">
            <w:pPr>
              <w:pStyle w:val="paragraph"/>
              <w:numPr>
                <w:ilvl w:val="0"/>
                <w:numId w:val="5"/>
              </w:numPr>
              <w:jc w:val="both"/>
              <w:textAlignment w:val="baseline"/>
              <w:rPr>
                <w:rFonts w:ascii="Arial" w:hAnsi="Arial" w:cs="Arial"/>
                <w:sz w:val="22"/>
                <w:szCs w:val="22"/>
              </w:rPr>
            </w:pPr>
            <w:r w:rsidRPr="008D719C">
              <w:rPr>
                <w:rStyle w:val="normaltextrun"/>
                <w:rFonts w:ascii="Arial" w:hAnsi="Arial" w:cs="Arial"/>
                <w:sz w:val="22"/>
                <w:szCs w:val="22"/>
                <w:lang w:val="fr-CA"/>
              </w:rPr>
              <w:t>Production de modèles algébriques ;</w:t>
            </w:r>
            <w:r w:rsidRPr="008D719C">
              <w:rPr>
                <w:rStyle w:val="eop"/>
                <w:rFonts w:ascii="Arial" w:hAnsi="Arial" w:cs="Arial"/>
                <w:sz w:val="22"/>
                <w:szCs w:val="22"/>
              </w:rPr>
              <w:t> </w:t>
            </w:r>
          </w:p>
          <w:p w14:paraId="5BDDE052" w14:textId="77777777" w:rsidR="00C710D7" w:rsidRPr="008D719C" w:rsidRDefault="00C710D7" w:rsidP="008D5F39">
            <w:pPr>
              <w:pStyle w:val="paragraph"/>
              <w:numPr>
                <w:ilvl w:val="0"/>
                <w:numId w:val="5"/>
              </w:numPr>
              <w:jc w:val="both"/>
              <w:textAlignment w:val="baseline"/>
              <w:rPr>
                <w:rFonts w:ascii="Arial" w:hAnsi="Arial" w:cs="Arial"/>
                <w:sz w:val="22"/>
                <w:szCs w:val="22"/>
              </w:rPr>
            </w:pPr>
            <w:r w:rsidRPr="008D719C">
              <w:rPr>
                <w:rStyle w:val="normaltextrun"/>
                <w:rFonts w:ascii="Arial" w:hAnsi="Arial" w:cs="Arial"/>
                <w:sz w:val="22"/>
                <w:szCs w:val="22"/>
                <w:lang w:val="fr-CA"/>
              </w:rPr>
              <w:t>Détermination de valeurs inconnues à l’aide de modèles algébriques ;</w:t>
            </w:r>
            <w:r w:rsidRPr="008D719C">
              <w:rPr>
                <w:rStyle w:val="eop"/>
                <w:rFonts w:ascii="Arial" w:hAnsi="Arial" w:cs="Arial"/>
                <w:sz w:val="22"/>
                <w:szCs w:val="22"/>
              </w:rPr>
              <w:t> </w:t>
            </w:r>
          </w:p>
          <w:p w14:paraId="69F3831A" w14:textId="77777777" w:rsidR="00C710D7" w:rsidRDefault="00C710D7" w:rsidP="008D5F39">
            <w:pPr>
              <w:pStyle w:val="paragraph"/>
              <w:numPr>
                <w:ilvl w:val="0"/>
                <w:numId w:val="5"/>
              </w:numPr>
              <w:jc w:val="both"/>
              <w:textAlignment w:val="baseline"/>
              <w:rPr>
                <w:rStyle w:val="eop"/>
                <w:rFonts w:ascii="Arial" w:hAnsi="Arial" w:cs="Arial"/>
                <w:sz w:val="22"/>
                <w:szCs w:val="22"/>
              </w:rPr>
            </w:pPr>
            <w:r w:rsidRPr="008D719C">
              <w:rPr>
                <w:rStyle w:val="normaltextrun"/>
                <w:rFonts w:ascii="Arial" w:hAnsi="Arial" w:cs="Arial"/>
                <w:sz w:val="22"/>
                <w:szCs w:val="22"/>
                <w:lang w:val="fr-CA"/>
              </w:rPr>
              <w:t>Représentation d’une situation par un modèle algébrique ;</w:t>
            </w:r>
            <w:r w:rsidRPr="008D719C">
              <w:rPr>
                <w:rStyle w:val="eop"/>
                <w:rFonts w:ascii="Arial" w:hAnsi="Arial" w:cs="Arial"/>
                <w:sz w:val="22"/>
                <w:szCs w:val="22"/>
              </w:rPr>
              <w:t> </w:t>
            </w:r>
          </w:p>
          <w:p w14:paraId="19616454" w14:textId="77777777" w:rsidR="00C710D7" w:rsidRPr="008D719C" w:rsidRDefault="00C710D7" w:rsidP="00C710D7">
            <w:pPr>
              <w:pStyle w:val="paragraph"/>
              <w:jc w:val="both"/>
              <w:textAlignment w:val="baseline"/>
              <w:rPr>
                <w:rFonts w:ascii="Arial" w:hAnsi="Arial" w:cs="Arial"/>
                <w:color w:val="262626"/>
                <w:sz w:val="22"/>
                <w:szCs w:val="22"/>
              </w:rPr>
            </w:pPr>
            <w:r w:rsidRPr="008D719C">
              <w:rPr>
                <w:rStyle w:val="normaltextrun"/>
                <w:rFonts w:ascii="Arial" w:hAnsi="Arial" w:cs="Arial"/>
                <w:color w:val="262626"/>
                <w:sz w:val="22"/>
                <w:szCs w:val="22"/>
                <w:lang w:val="fr-CA"/>
              </w:rPr>
              <w:t>Représentation géométrique</w:t>
            </w:r>
            <w:r w:rsidRPr="008D719C">
              <w:rPr>
                <w:rStyle w:val="eop"/>
                <w:rFonts w:ascii="Arial" w:hAnsi="Arial" w:cs="Arial"/>
                <w:color w:val="262626"/>
                <w:sz w:val="22"/>
                <w:szCs w:val="22"/>
              </w:rPr>
              <w:t> </w:t>
            </w:r>
          </w:p>
          <w:p w14:paraId="3ED59AF6" w14:textId="1C8FA0DF" w:rsidR="00C710D7" w:rsidRPr="00DD1101" w:rsidRDefault="00C710D7" w:rsidP="00DD1101">
            <w:pPr>
              <w:pStyle w:val="paragraph"/>
              <w:numPr>
                <w:ilvl w:val="0"/>
                <w:numId w:val="5"/>
              </w:numPr>
              <w:jc w:val="both"/>
              <w:textAlignment w:val="baseline"/>
              <w:rPr>
                <w:rFonts w:ascii="Arial" w:hAnsi="Arial" w:cs="Arial"/>
                <w:sz w:val="22"/>
                <w:szCs w:val="22"/>
              </w:rPr>
            </w:pPr>
            <w:r w:rsidRPr="008D719C">
              <w:rPr>
                <w:rStyle w:val="normaltextrun"/>
                <w:rFonts w:ascii="Arial" w:hAnsi="Arial" w:cs="Arial"/>
                <w:sz w:val="22"/>
                <w:szCs w:val="22"/>
                <w:lang w:val="fr-CA"/>
              </w:rPr>
              <w:t>Détermination de mesures</w:t>
            </w:r>
            <w:r w:rsidRPr="00DD1101">
              <w:rPr>
                <w:rStyle w:val="eop"/>
                <w:rFonts w:ascii="Arial" w:hAnsi="Arial" w:cs="Arial"/>
                <w:sz w:val="22"/>
                <w:szCs w:val="22"/>
              </w:rPr>
              <w:t> </w:t>
            </w:r>
          </w:p>
        </w:tc>
      </w:tr>
      <w:tr w:rsidR="00A122D7" w14:paraId="1AFA4443" w14:textId="77777777" w:rsidTr="008C68B7">
        <w:tc>
          <w:tcPr>
            <w:tcW w:w="10436" w:type="dxa"/>
            <w:gridSpan w:val="2"/>
            <w:tcBorders>
              <w:top w:val="single" w:sz="12" w:space="0" w:color="auto"/>
              <w:left w:val="single" w:sz="12" w:space="0" w:color="auto"/>
              <w:bottom w:val="single" w:sz="12" w:space="0" w:color="auto"/>
              <w:right w:val="single" w:sz="12" w:space="0" w:color="auto"/>
            </w:tcBorders>
          </w:tcPr>
          <w:p w14:paraId="6FCBB25C" w14:textId="6C42EEEE" w:rsidR="00A122D7" w:rsidRPr="005465C9" w:rsidRDefault="00CD6188" w:rsidP="00C710D7">
            <w:pPr>
              <w:pStyle w:val="paragraph"/>
              <w:jc w:val="both"/>
              <w:textAlignment w:val="baseline"/>
              <w:rPr>
                <w:rStyle w:val="normaltextrun"/>
                <w:rFonts w:ascii="Arial" w:hAnsi="Arial" w:cs="Arial"/>
                <w:b/>
                <w:color w:val="262626" w:themeColor="text1" w:themeTint="D9"/>
                <w:lang w:val="fr-CA"/>
              </w:rPr>
            </w:pPr>
            <w:r w:rsidRPr="005465C9">
              <w:rPr>
                <w:rStyle w:val="normaltextrun"/>
                <w:rFonts w:ascii="Arial" w:hAnsi="Arial" w:cs="Arial"/>
                <w:b/>
                <w:color w:val="262626" w:themeColor="text1" w:themeTint="D9"/>
                <w:lang w:val="fr-CA"/>
              </w:rPr>
              <w:lastRenderedPageBreak/>
              <w:t>Autres informations pertinentes</w:t>
            </w:r>
          </w:p>
          <w:p w14:paraId="5E346457" w14:textId="6C67669F" w:rsidR="00312AAE" w:rsidRDefault="00DD1101" w:rsidP="00C710D7">
            <w:pPr>
              <w:pStyle w:val="paragraph"/>
              <w:jc w:val="both"/>
              <w:textAlignment w:val="baseline"/>
              <w:rPr>
                <w:rStyle w:val="normaltextrun"/>
                <w:rFonts w:ascii="Arial" w:hAnsi="Arial" w:cs="Arial"/>
                <w:color w:val="262626" w:themeColor="text1" w:themeTint="D9"/>
                <w:sz w:val="22"/>
                <w:szCs w:val="22"/>
                <w:lang w:val="fr-CA"/>
              </w:rPr>
            </w:pPr>
            <w:r>
              <w:rPr>
                <w:rStyle w:val="normaltextrun"/>
                <w:rFonts w:ascii="Arial" w:hAnsi="Arial" w:cs="Arial"/>
                <w:color w:val="262626" w:themeColor="text1" w:themeTint="D9"/>
                <w:sz w:val="22"/>
                <w:szCs w:val="22"/>
                <w:lang w:val="fr-CA"/>
              </w:rPr>
              <w:t>Cette tâche a une « tâche jumelle » en MAT-3051 où la mise en situation est exactement la même, mais où on demande quelque chose de moins pointu (le temps nécessaire pour effectuer le sauvetage et non l’endroit où on devra creuser). Il est bon de profiter de cette occasion pour montrer aux élèves qu’une situation peut être traitée de différentes manières selon les outils mathématiques à notre disposition et de leur montrer que plus nos outils sont puissants et raffinés, plus nous pouvons calculer d’éléments différents et précis.</w:t>
            </w:r>
            <w:bookmarkStart w:id="0" w:name="_GoBack"/>
            <w:bookmarkEnd w:id="0"/>
          </w:p>
        </w:tc>
      </w:tr>
    </w:tbl>
    <w:p w14:paraId="65192BCA" w14:textId="77777777" w:rsidR="00C710D7" w:rsidRDefault="00C710D7">
      <w:pPr>
        <w:rPr>
          <w:rFonts w:ascii="Arial" w:hAnsi="Arial" w:cs="Arial"/>
        </w:rPr>
      </w:pPr>
    </w:p>
    <w:p w14:paraId="6BE3D67B" w14:textId="77777777" w:rsidR="00361F15" w:rsidRDefault="00361F15" w:rsidP="00C710D7">
      <w:pPr>
        <w:pStyle w:val="paragraph"/>
        <w:jc w:val="both"/>
        <w:textAlignment w:val="baseline"/>
        <w:rPr>
          <w:rStyle w:val="normaltextrun"/>
          <w:rFonts w:ascii="Calibri Light" w:hAnsi="Calibri Light" w:cs="Calibri Light"/>
          <w:sz w:val="56"/>
          <w:szCs w:val="56"/>
          <w:lang w:val="fr-CA"/>
        </w:rPr>
      </w:pPr>
    </w:p>
    <w:sectPr w:rsidR="00361F15" w:rsidSect="00361F1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49B4"/>
    <w:multiLevelType w:val="multilevel"/>
    <w:tmpl w:val="A4C6C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D560AD"/>
    <w:multiLevelType w:val="multilevel"/>
    <w:tmpl w:val="55807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84126A"/>
    <w:multiLevelType w:val="multilevel"/>
    <w:tmpl w:val="34DE7D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2A7394"/>
    <w:multiLevelType w:val="multilevel"/>
    <w:tmpl w:val="7786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2A755E"/>
    <w:multiLevelType w:val="multilevel"/>
    <w:tmpl w:val="AF5E57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2569BF"/>
    <w:multiLevelType w:val="multilevel"/>
    <w:tmpl w:val="0340E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645079"/>
    <w:multiLevelType w:val="hybridMultilevel"/>
    <w:tmpl w:val="B5562DF8"/>
    <w:lvl w:ilvl="0" w:tplc="99DAD5C6">
      <w:numFmt w:val="bullet"/>
      <w:lvlText w:val="-"/>
      <w:lvlJc w:val="left"/>
      <w:pPr>
        <w:ind w:left="720" w:hanging="360"/>
      </w:pPr>
      <w:rPr>
        <w:rFonts w:ascii="Arial" w:eastAsia="Times New Roman" w:hAnsi="Arial" w:cs="Aria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7" w15:restartNumberingAfterBreak="0">
    <w:nsid w:val="499528F6"/>
    <w:multiLevelType w:val="multilevel"/>
    <w:tmpl w:val="44A6E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2D0E11"/>
    <w:multiLevelType w:val="multilevel"/>
    <w:tmpl w:val="B1520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47E2E9D"/>
    <w:multiLevelType w:val="multilevel"/>
    <w:tmpl w:val="E34EC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70C13F5"/>
    <w:multiLevelType w:val="multilevel"/>
    <w:tmpl w:val="9E7EE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BB521D"/>
    <w:multiLevelType w:val="multilevel"/>
    <w:tmpl w:val="5964C722"/>
    <w:lvl w:ilvl="0">
      <w:start w:val="1"/>
      <w:numFmt w:val="decimal"/>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7"/>
  </w:num>
  <w:num w:numId="3">
    <w:abstractNumId w:val="1"/>
  </w:num>
  <w:num w:numId="4">
    <w:abstractNumId w:val="3"/>
  </w:num>
  <w:num w:numId="5">
    <w:abstractNumId w:val="4"/>
  </w:num>
  <w:num w:numId="6">
    <w:abstractNumId w:val="10"/>
  </w:num>
  <w:num w:numId="7">
    <w:abstractNumId w:val="5"/>
  </w:num>
  <w:num w:numId="8">
    <w:abstractNumId w:val="0"/>
  </w:num>
  <w:num w:numId="9">
    <w:abstractNumId w:val="6"/>
  </w:num>
  <w:num w:numId="10">
    <w:abstractNumId w:val="2"/>
  </w:num>
  <w:num w:numId="11">
    <w:abstractNumId w:va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F93"/>
    <w:rsid w:val="00037B49"/>
    <w:rsid w:val="0009359A"/>
    <w:rsid w:val="001005B0"/>
    <w:rsid w:val="001B647B"/>
    <w:rsid w:val="002D42FE"/>
    <w:rsid w:val="00310FAC"/>
    <w:rsid w:val="00312AAE"/>
    <w:rsid w:val="003171C2"/>
    <w:rsid w:val="00321968"/>
    <w:rsid w:val="00361F15"/>
    <w:rsid w:val="0046544B"/>
    <w:rsid w:val="00495859"/>
    <w:rsid w:val="004A0399"/>
    <w:rsid w:val="004D581B"/>
    <w:rsid w:val="0050179A"/>
    <w:rsid w:val="005465C9"/>
    <w:rsid w:val="0055543F"/>
    <w:rsid w:val="0056500E"/>
    <w:rsid w:val="00662EE7"/>
    <w:rsid w:val="00675165"/>
    <w:rsid w:val="008303CE"/>
    <w:rsid w:val="008C1BFB"/>
    <w:rsid w:val="008C68B7"/>
    <w:rsid w:val="008D5F39"/>
    <w:rsid w:val="008D719C"/>
    <w:rsid w:val="00910F93"/>
    <w:rsid w:val="00A122D7"/>
    <w:rsid w:val="00A66027"/>
    <w:rsid w:val="00A72FA9"/>
    <w:rsid w:val="00B03BA6"/>
    <w:rsid w:val="00B41833"/>
    <w:rsid w:val="00B86919"/>
    <w:rsid w:val="00BD7FB1"/>
    <w:rsid w:val="00BF628A"/>
    <w:rsid w:val="00C03448"/>
    <w:rsid w:val="00C55437"/>
    <w:rsid w:val="00C710D7"/>
    <w:rsid w:val="00CC3F46"/>
    <w:rsid w:val="00CD6188"/>
    <w:rsid w:val="00DD1101"/>
    <w:rsid w:val="00E0550B"/>
    <w:rsid w:val="00E4037E"/>
    <w:rsid w:val="00E5071B"/>
    <w:rsid w:val="00EA371E"/>
    <w:rsid w:val="00F31DFF"/>
    <w:rsid w:val="00F4727A"/>
    <w:rsid w:val="00F6665D"/>
    <w:rsid w:val="00FA2679"/>
    <w:rsid w:val="06E643AD"/>
    <w:rsid w:val="0C562D38"/>
    <w:rsid w:val="60DAD136"/>
    <w:rsid w:val="6D7C7F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2957B"/>
  <w15:chartTrackingRefBased/>
  <w15:docId w15:val="{B9680557-2C43-43BC-94BC-073E6C4C4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
    <w:name w:val="paragraph"/>
    <w:basedOn w:val="Normal"/>
    <w:rsid w:val="00361F1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361F15"/>
  </w:style>
  <w:style w:type="character" w:customStyle="1" w:styleId="eop">
    <w:name w:val="eop"/>
    <w:basedOn w:val="Policepardfaut"/>
    <w:rsid w:val="00361F15"/>
  </w:style>
  <w:style w:type="table" w:styleId="Grilledutableau">
    <w:name w:val="Table Grid"/>
    <w:basedOn w:val="TableauNormal"/>
    <w:uiPriority w:val="39"/>
    <w:rsid w:val="00361F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DD11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162487">
      <w:bodyDiv w:val="1"/>
      <w:marLeft w:val="0"/>
      <w:marRight w:val="0"/>
      <w:marTop w:val="0"/>
      <w:marBottom w:val="0"/>
      <w:divBdr>
        <w:top w:val="none" w:sz="0" w:space="0" w:color="auto"/>
        <w:left w:val="none" w:sz="0" w:space="0" w:color="auto"/>
        <w:bottom w:val="none" w:sz="0" w:space="0" w:color="auto"/>
        <w:right w:val="none" w:sz="0" w:space="0" w:color="auto"/>
      </w:divBdr>
    </w:div>
    <w:div w:id="371425109">
      <w:bodyDiv w:val="1"/>
      <w:marLeft w:val="0"/>
      <w:marRight w:val="0"/>
      <w:marTop w:val="0"/>
      <w:marBottom w:val="0"/>
      <w:divBdr>
        <w:top w:val="none" w:sz="0" w:space="0" w:color="auto"/>
        <w:left w:val="none" w:sz="0" w:space="0" w:color="auto"/>
        <w:bottom w:val="none" w:sz="0" w:space="0" w:color="auto"/>
        <w:right w:val="none" w:sz="0" w:space="0" w:color="auto"/>
      </w:divBdr>
      <w:divsChild>
        <w:div w:id="63577414">
          <w:marLeft w:val="0"/>
          <w:marRight w:val="0"/>
          <w:marTop w:val="0"/>
          <w:marBottom w:val="0"/>
          <w:divBdr>
            <w:top w:val="none" w:sz="0" w:space="0" w:color="auto"/>
            <w:left w:val="none" w:sz="0" w:space="0" w:color="auto"/>
            <w:bottom w:val="none" w:sz="0" w:space="0" w:color="auto"/>
            <w:right w:val="none" w:sz="0" w:space="0" w:color="auto"/>
          </w:divBdr>
          <w:divsChild>
            <w:div w:id="1842037564">
              <w:marLeft w:val="0"/>
              <w:marRight w:val="0"/>
              <w:marTop w:val="0"/>
              <w:marBottom w:val="0"/>
              <w:divBdr>
                <w:top w:val="none" w:sz="0" w:space="0" w:color="auto"/>
                <w:left w:val="none" w:sz="0" w:space="0" w:color="auto"/>
                <w:bottom w:val="none" w:sz="0" w:space="0" w:color="auto"/>
                <w:right w:val="none" w:sz="0" w:space="0" w:color="auto"/>
              </w:divBdr>
            </w:div>
          </w:divsChild>
        </w:div>
        <w:div w:id="1296982803">
          <w:marLeft w:val="0"/>
          <w:marRight w:val="0"/>
          <w:marTop w:val="0"/>
          <w:marBottom w:val="0"/>
          <w:divBdr>
            <w:top w:val="none" w:sz="0" w:space="0" w:color="auto"/>
            <w:left w:val="none" w:sz="0" w:space="0" w:color="auto"/>
            <w:bottom w:val="none" w:sz="0" w:space="0" w:color="auto"/>
            <w:right w:val="none" w:sz="0" w:space="0" w:color="auto"/>
          </w:divBdr>
          <w:divsChild>
            <w:div w:id="578901357">
              <w:marLeft w:val="0"/>
              <w:marRight w:val="0"/>
              <w:marTop w:val="0"/>
              <w:marBottom w:val="0"/>
              <w:divBdr>
                <w:top w:val="none" w:sz="0" w:space="0" w:color="auto"/>
                <w:left w:val="none" w:sz="0" w:space="0" w:color="auto"/>
                <w:bottom w:val="none" w:sz="0" w:space="0" w:color="auto"/>
                <w:right w:val="none" w:sz="0" w:space="0" w:color="auto"/>
              </w:divBdr>
            </w:div>
            <w:div w:id="1687898249">
              <w:marLeft w:val="0"/>
              <w:marRight w:val="0"/>
              <w:marTop w:val="0"/>
              <w:marBottom w:val="0"/>
              <w:divBdr>
                <w:top w:val="none" w:sz="0" w:space="0" w:color="auto"/>
                <w:left w:val="none" w:sz="0" w:space="0" w:color="auto"/>
                <w:bottom w:val="none" w:sz="0" w:space="0" w:color="auto"/>
                <w:right w:val="none" w:sz="0" w:space="0" w:color="auto"/>
              </w:divBdr>
            </w:div>
            <w:div w:id="1793015758">
              <w:marLeft w:val="0"/>
              <w:marRight w:val="0"/>
              <w:marTop w:val="0"/>
              <w:marBottom w:val="0"/>
              <w:divBdr>
                <w:top w:val="none" w:sz="0" w:space="0" w:color="auto"/>
                <w:left w:val="none" w:sz="0" w:space="0" w:color="auto"/>
                <w:bottom w:val="none" w:sz="0" w:space="0" w:color="auto"/>
                <w:right w:val="none" w:sz="0" w:space="0" w:color="auto"/>
              </w:divBdr>
            </w:div>
          </w:divsChild>
        </w:div>
        <w:div w:id="1649433149">
          <w:marLeft w:val="0"/>
          <w:marRight w:val="0"/>
          <w:marTop w:val="0"/>
          <w:marBottom w:val="0"/>
          <w:divBdr>
            <w:top w:val="none" w:sz="0" w:space="0" w:color="auto"/>
            <w:left w:val="none" w:sz="0" w:space="0" w:color="auto"/>
            <w:bottom w:val="none" w:sz="0" w:space="0" w:color="auto"/>
            <w:right w:val="none" w:sz="0" w:space="0" w:color="auto"/>
          </w:divBdr>
          <w:divsChild>
            <w:div w:id="15741604">
              <w:marLeft w:val="0"/>
              <w:marRight w:val="0"/>
              <w:marTop w:val="0"/>
              <w:marBottom w:val="0"/>
              <w:divBdr>
                <w:top w:val="none" w:sz="0" w:space="0" w:color="auto"/>
                <w:left w:val="none" w:sz="0" w:space="0" w:color="auto"/>
                <w:bottom w:val="none" w:sz="0" w:space="0" w:color="auto"/>
                <w:right w:val="none" w:sz="0" w:space="0" w:color="auto"/>
              </w:divBdr>
            </w:div>
          </w:divsChild>
        </w:div>
        <w:div w:id="2011444779">
          <w:marLeft w:val="0"/>
          <w:marRight w:val="0"/>
          <w:marTop w:val="0"/>
          <w:marBottom w:val="0"/>
          <w:divBdr>
            <w:top w:val="none" w:sz="0" w:space="0" w:color="auto"/>
            <w:left w:val="none" w:sz="0" w:space="0" w:color="auto"/>
            <w:bottom w:val="none" w:sz="0" w:space="0" w:color="auto"/>
            <w:right w:val="none" w:sz="0" w:space="0" w:color="auto"/>
          </w:divBdr>
          <w:divsChild>
            <w:div w:id="283927454">
              <w:marLeft w:val="0"/>
              <w:marRight w:val="0"/>
              <w:marTop w:val="0"/>
              <w:marBottom w:val="0"/>
              <w:divBdr>
                <w:top w:val="none" w:sz="0" w:space="0" w:color="auto"/>
                <w:left w:val="none" w:sz="0" w:space="0" w:color="auto"/>
                <w:bottom w:val="none" w:sz="0" w:space="0" w:color="auto"/>
                <w:right w:val="none" w:sz="0" w:space="0" w:color="auto"/>
              </w:divBdr>
            </w:div>
            <w:div w:id="1306473198">
              <w:marLeft w:val="0"/>
              <w:marRight w:val="0"/>
              <w:marTop w:val="0"/>
              <w:marBottom w:val="0"/>
              <w:divBdr>
                <w:top w:val="none" w:sz="0" w:space="0" w:color="auto"/>
                <w:left w:val="none" w:sz="0" w:space="0" w:color="auto"/>
                <w:bottom w:val="none" w:sz="0" w:space="0" w:color="auto"/>
                <w:right w:val="none" w:sz="0" w:space="0" w:color="auto"/>
              </w:divBdr>
            </w:div>
            <w:div w:id="172899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30501">
      <w:bodyDiv w:val="1"/>
      <w:marLeft w:val="0"/>
      <w:marRight w:val="0"/>
      <w:marTop w:val="0"/>
      <w:marBottom w:val="0"/>
      <w:divBdr>
        <w:top w:val="none" w:sz="0" w:space="0" w:color="auto"/>
        <w:left w:val="none" w:sz="0" w:space="0" w:color="auto"/>
        <w:bottom w:val="none" w:sz="0" w:space="0" w:color="auto"/>
        <w:right w:val="none" w:sz="0" w:space="0" w:color="auto"/>
      </w:divBdr>
    </w:div>
    <w:div w:id="1677265195">
      <w:bodyDiv w:val="1"/>
      <w:marLeft w:val="0"/>
      <w:marRight w:val="0"/>
      <w:marTop w:val="0"/>
      <w:marBottom w:val="0"/>
      <w:divBdr>
        <w:top w:val="none" w:sz="0" w:space="0" w:color="auto"/>
        <w:left w:val="none" w:sz="0" w:space="0" w:color="auto"/>
        <w:bottom w:val="none" w:sz="0" w:space="0" w:color="auto"/>
        <w:right w:val="none" w:sz="0" w:space="0" w:color="auto"/>
      </w:divBdr>
      <w:divsChild>
        <w:div w:id="63795278">
          <w:marLeft w:val="0"/>
          <w:marRight w:val="0"/>
          <w:marTop w:val="0"/>
          <w:marBottom w:val="0"/>
          <w:divBdr>
            <w:top w:val="none" w:sz="0" w:space="0" w:color="auto"/>
            <w:left w:val="none" w:sz="0" w:space="0" w:color="auto"/>
            <w:bottom w:val="none" w:sz="0" w:space="0" w:color="auto"/>
            <w:right w:val="none" w:sz="0" w:space="0" w:color="auto"/>
          </w:divBdr>
        </w:div>
        <w:div w:id="397896756">
          <w:marLeft w:val="0"/>
          <w:marRight w:val="0"/>
          <w:marTop w:val="0"/>
          <w:marBottom w:val="0"/>
          <w:divBdr>
            <w:top w:val="none" w:sz="0" w:space="0" w:color="auto"/>
            <w:left w:val="none" w:sz="0" w:space="0" w:color="auto"/>
            <w:bottom w:val="none" w:sz="0" w:space="0" w:color="auto"/>
            <w:right w:val="none" w:sz="0" w:space="0" w:color="auto"/>
          </w:divBdr>
          <w:divsChild>
            <w:div w:id="913121026">
              <w:marLeft w:val="0"/>
              <w:marRight w:val="0"/>
              <w:marTop w:val="0"/>
              <w:marBottom w:val="0"/>
              <w:divBdr>
                <w:top w:val="none" w:sz="0" w:space="0" w:color="auto"/>
                <w:left w:val="none" w:sz="0" w:space="0" w:color="auto"/>
                <w:bottom w:val="none" w:sz="0" w:space="0" w:color="auto"/>
                <w:right w:val="none" w:sz="0" w:space="0" w:color="auto"/>
              </w:divBdr>
            </w:div>
            <w:div w:id="1515798908">
              <w:marLeft w:val="0"/>
              <w:marRight w:val="0"/>
              <w:marTop w:val="0"/>
              <w:marBottom w:val="0"/>
              <w:divBdr>
                <w:top w:val="none" w:sz="0" w:space="0" w:color="auto"/>
                <w:left w:val="none" w:sz="0" w:space="0" w:color="auto"/>
                <w:bottom w:val="none" w:sz="0" w:space="0" w:color="auto"/>
                <w:right w:val="none" w:sz="0" w:space="0" w:color="auto"/>
              </w:divBdr>
            </w:div>
          </w:divsChild>
        </w:div>
        <w:div w:id="491409799">
          <w:marLeft w:val="0"/>
          <w:marRight w:val="0"/>
          <w:marTop w:val="0"/>
          <w:marBottom w:val="0"/>
          <w:divBdr>
            <w:top w:val="none" w:sz="0" w:space="0" w:color="auto"/>
            <w:left w:val="none" w:sz="0" w:space="0" w:color="auto"/>
            <w:bottom w:val="none" w:sz="0" w:space="0" w:color="auto"/>
            <w:right w:val="none" w:sz="0" w:space="0" w:color="auto"/>
          </w:divBdr>
          <w:divsChild>
            <w:div w:id="829951798">
              <w:marLeft w:val="0"/>
              <w:marRight w:val="0"/>
              <w:marTop w:val="0"/>
              <w:marBottom w:val="0"/>
              <w:divBdr>
                <w:top w:val="none" w:sz="0" w:space="0" w:color="auto"/>
                <w:left w:val="none" w:sz="0" w:space="0" w:color="auto"/>
                <w:bottom w:val="none" w:sz="0" w:space="0" w:color="auto"/>
                <w:right w:val="none" w:sz="0" w:space="0" w:color="auto"/>
              </w:divBdr>
            </w:div>
            <w:div w:id="1123571364">
              <w:marLeft w:val="0"/>
              <w:marRight w:val="0"/>
              <w:marTop w:val="0"/>
              <w:marBottom w:val="0"/>
              <w:divBdr>
                <w:top w:val="none" w:sz="0" w:space="0" w:color="auto"/>
                <w:left w:val="none" w:sz="0" w:space="0" w:color="auto"/>
                <w:bottom w:val="none" w:sz="0" w:space="0" w:color="auto"/>
                <w:right w:val="none" w:sz="0" w:space="0" w:color="auto"/>
              </w:divBdr>
            </w:div>
            <w:div w:id="1985818210">
              <w:marLeft w:val="0"/>
              <w:marRight w:val="0"/>
              <w:marTop w:val="0"/>
              <w:marBottom w:val="0"/>
              <w:divBdr>
                <w:top w:val="none" w:sz="0" w:space="0" w:color="auto"/>
                <w:left w:val="none" w:sz="0" w:space="0" w:color="auto"/>
                <w:bottom w:val="none" w:sz="0" w:space="0" w:color="auto"/>
                <w:right w:val="none" w:sz="0" w:space="0" w:color="auto"/>
              </w:divBdr>
            </w:div>
          </w:divsChild>
        </w:div>
        <w:div w:id="1298532248">
          <w:marLeft w:val="0"/>
          <w:marRight w:val="0"/>
          <w:marTop w:val="0"/>
          <w:marBottom w:val="0"/>
          <w:divBdr>
            <w:top w:val="none" w:sz="0" w:space="0" w:color="auto"/>
            <w:left w:val="none" w:sz="0" w:space="0" w:color="auto"/>
            <w:bottom w:val="none" w:sz="0" w:space="0" w:color="auto"/>
            <w:right w:val="none" w:sz="0" w:space="0" w:color="auto"/>
          </w:divBdr>
        </w:div>
        <w:div w:id="1335721104">
          <w:marLeft w:val="0"/>
          <w:marRight w:val="0"/>
          <w:marTop w:val="0"/>
          <w:marBottom w:val="0"/>
          <w:divBdr>
            <w:top w:val="none" w:sz="0" w:space="0" w:color="auto"/>
            <w:left w:val="none" w:sz="0" w:space="0" w:color="auto"/>
            <w:bottom w:val="none" w:sz="0" w:space="0" w:color="auto"/>
            <w:right w:val="none" w:sz="0" w:space="0" w:color="auto"/>
          </w:divBdr>
        </w:div>
        <w:div w:id="1611743975">
          <w:marLeft w:val="0"/>
          <w:marRight w:val="0"/>
          <w:marTop w:val="0"/>
          <w:marBottom w:val="0"/>
          <w:divBdr>
            <w:top w:val="none" w:sz="0" w:space="0" w:color="auto"/>
            <w:left w:val="none" w:sz="0" w:space="0" w:color="auto"/>
            <w:bottom w:val="none" w:sz="0" w:space="0" w:color="auto"/>
            <w:right w:val="none" w:sz="0" w:space="0" w:color="auto"/>
          </w:divBdr>
        </w:div>
        <w:div w:id="2104492878">
          <w:marLeft w:val="0"/>
          <w:marRight w:val="0"/>
          <w:marTop w:val="0"/>
          <w:marBottom w:val="0"/>
          <w:divBdr>
            <w:top w:val="none" w:sz="0" w:space="0" w:color="auto"/>
            <w:left w:val="none" w:sz="0" w:space="0" w:color="auto"/>
            <w:bottom w:val="none" w:sz="0" w:space="0" w:color="auto"/>
            <w:right w:val="none" w:sz="0" w:space="0" w:color="auto"/>
          </w:divBdr>
        </w:div>
        <w:div w:id="2105225349">
          <w:marLeft w:val="0"/>
          <w:marRight w:val="0"/>
          <w:marTop w:val="0"/>
          <w:marBottom w:val="0"/>
          <w:divBdr>
            <w:top w:val="none" w:sz="0" w:space="0" w:color="auto"/>
            <w:left w:val="none" w:sz="0" w:space="0" w:color="auto"/>
            <w:bottom w:val="none" w:sz="0" w:space="0" w:color="auto"/>
            <w:right w:val="none" w:sz="0" w:space="0" w:color="auto"/>
          </w:divBdr>
          <w:divsChild>
            <w:div w:id="511385069">
              <w:marLeft w:val="0"/>
              <w:marRight w:val="0"/>
              <w:marTop w:val="0"/>
              <w:marBottom w:val="0"/>
              <w:divBdr>
                <w:top w:val="none" w:sz="0" w:space="0" w:color="auto"/>
                <w:left w:val="none" w:sz="0" w:space="0" w:color="auto"/>
                <w:bottom w:val="none" w:sz="0" w:space="0" w:color="auto"/>
                <w:right w:val="none" w:sz="0" w:space="0" w:color="auto"/>
              </w:divBdr>
            </w:div>
            <w:div w:id="63977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A514ED70F5FA45A071C78263CCA155" ma:contentTypeVersion="8" ma:contentTypeDescription="Crée un document." ma:contentTypeScope="" ma:versionID="3ce6558c1556caabe6fb741ae80c88fd">
  <xsd:schema xmlns:xsd="http://www.w3.org/2001/XMLSchema" xmlns:xs="http://www.w3.org/2001/XMLSchema" xmlns:p="http://schemas.microsoft.com/office/2006/metadata/properties" xmlns:ns2="566e8481-1068-4717-8c62-5db72b590333" xmlns:ns3="64b667f9-f0f7-4d27-9d43-d0a319d77c68" targetNamespace="http://schemas.microsoft.com/office/2006/metadata/properties" ma:root="true" ma:fieldsID="67029587fef26b796e19c373a66c8baa" ns2:_="" ns3:_="">
    <xsd:import namespace="566e8481-1068-4717-8c62-5db72b590333"/>
    <xsd:import namespace="64b667f9-f0f7-4d27-9d43-d0a319d77c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e8481-1068-4717-8c62-5db72b59033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b667f9-f0f7-4d27-9d43-d0a319d77c6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FE59FF-2225-4ADE-81C7-8E88A0AACBCA}">
  <ds:schemaRefs>
    <ds:schemaRef ds:uri="http://schemas.microsoft.com/sharepoint/v3/contenttype/forms"/>
  </ds:schemaRefs>
</ds:datastoreItem>
</file>

<file path=customXml/itemProps2.xml><?xml version="1.0" encoding="utf-8"?>
<ds:datastoreItem xmlns:ds="http://schemas.openxmlformats.org/officeDocument/2006/customXml" ds:itemID="{1616008A-4372-4ED6-90BE-E8D5795F5616}">
  <ds:schemaRefs>
    <ds:schemaRef ds:uri="http://purl.org/dc/terms/"/>
    <ds:schemaRef ds:uri="http://schemas.openxmlformats.org/package/2006/metadata/core-properties"/>
    <ds:schemaRef ds:uri="64b667f9-f0f7-4d27-9d43-d0a319d77c68"/>
    <ds:schemaRef ds:uri="http://purl.org/dc/dcmitype/"/>
    <ds:schemaRef ds:uri="http://schemas.microsoft.com/office/infopath/2007/PartnerControls"/>
    <ds:schemaRef ds:uri="http://purl.org/dc/elements/1.1/"/>
    <ds:schemaRef ds:uri="http://schemas.microsoft.com/office/2006/metadata/properties"/>
    <ds:schemaRef ds:uri="566e8481-1068-4717-8c62-5db72b590333"/>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323BAC4D-AA15-4745-840D-C6536011D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e8481-1068-4717-8c62-5db72b590333"/>
    <ds:schemaRef ds:uri="64b667f9-f0f7-4d27-9d43-d0a319d77c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398</Words>
  <Characters>2191</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Brigitte Labelle</dc:creator>
  <cp:keywords/>
  <dc:description/>
  <cp:lastModifiedBy>François Prévost-Lagacé</cp:lastModifiedBy>
  <cp:revision>4</cp:revision>
  <cp:lastPrinted>2019-02-25T16:27:00Z</cp:lastPrinted>
  <dcterms:created xsi:type="dcterms:W3CDTF">2019-03-21T19:52:00Z</dcterms:created>
  <dcterms:modified xsi:type="dcterms:W3CDTF">2019-03-26T14:03:00Z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0x010100B9A514ED70F5FA45A071C78263CCA155</vt:lpwstr>
  </property>
</Properties>
</file>